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9F5C" w14:textId="48BAD320" w:rsidR="00F44735" w:rsidRDefault="001F0C27">
      <w:pPr>
        <w:pStyle w:val="Heading6"/>
        <w:rPr>
          <w:rFonts w:cs="Times New Roman"/>
          <w:sz w:val="24"/>
          <w:szCs w:val="24"/>
        </w:rPr>
      </w:pPr>
      <w:r>
        <w:rPr>
          <w:rFonts w:cs="Times New Roman"/>
          <w:sz w:val="24"/>
          <w:szCs w:val="24"/>
        </w:rPr>
        <w:t>Minutes</w:t>
      </w:r>
    </w:p>
    <w:p w14:paraId="2FE57627" w14:textId="384F9222" w:rsidR="006D6BFC" w:rsidRDefault="006D6BFC" w:rsidP="006D6BFC">
      <w:pPr>
        <w:jc w:val="center"/>
      </w:pPr>
      <w:r>
        <w:t>Grafton Development Review Board</w:t>
      </w:r>
    </w:p>
    <w:p w14:paraId="1FF5691D" w14:textId="376DC305" w:rsidR="001F0C27" w:rsidRDefault="006D6BFC" w:rsidP="001F0C27">
      <w:pPr>
        <w:ind w:firstLine="540"/>
        <w:jc w:val="center"/>
      </w:pPr>
      <w:r>
        <w:t xml:space="preserve">Tuesday, </w:t>
      </w:r>
      <w:r w:rsidR="00B643BF">
        <w:t>November 15, 2022</w:t>
      </w:r>
      <w:r w:rsidR="005D75E6">
        <w:t>,</w:t>
      </w:r>
      <w:r w:rsidR="00B643BF">
        <w:t xml:space="preserve"> at 4:30 PM upstairs in Tow Hall and on Microsoft Teams</w:t>
      </w:r>
    </w:p>
    <w:p w14:paraId="49680AA9" w14:textId="77777777" w:rsidR="001F0C27" w:rsidRDefault="001F0C27" w:rsidP="001F0C27">
      <w:pPr>
        <w:ind w:left="360"/>
        <w:jc w:val="both"/>
      </w:pPr>
    </w:p>
    <w:p w14:paraId="7ADE4AD4" w14:textId="0CE7BC06" w:rsidR="001F0C27" w:rsidRDefault="001F0C27" w:rsidP="001F0C27">
      <w:pPr>
        <w:jc w:val="both"/>
      </w:pPr>
      <w:r>
        <w:t>DRB Member Present: Chair Christopher R. Wallace, John Gregory, John Plummer, Steve Fisher sand (alternate) Joe Pollio (for Eric Stevens)</w:t>
      </w:r>
    </w:p>
    <w:p w14:paraId="7FFA22CD" w14:textId="5A34702B" w:rsidR="001F0C27" w:rsidRDefault="001F0C27" w:rsidP="001F0C27">
      <w:pPr>
        <w:jc w:val="both"/>
      </w:pPr>
      <w:r>
        <w:t xml:space="preserve">Also present </w:t>
      </w:r>
      <w:r w:rsidR="00937E11">
        <w:t>were</w:t>
      </w:r>
      <w:r>
        <w:t xml:space="preserve"> Applicant Scott Jensen, abutters Cathy Siano Goodwin and Kirk Goodwin, and Administrative Officer Bill Kearns. </w:t>
      </w:r>
    </w:p>
    <w:p w14:paraId="19D36FF4" w14:textId="0679E586" w:rsidR="00D35218" w:rsidRDefault="00D35218" w:rsidP="001F0C27"/>
    <w:p w14:paraId="4A3FB1BB" w14:textId="7835182D" w:rsidR="00F22CDB" w:rsidRDefault="001F0C27" w:rsidP="00953A67">
      <w:pPr>
        <w:jc w:val="both"/>
      </w:pPr>
      <w:r>
        <w:t xml:space="preserve">The Chair called the meeting to order at 4:30 pm. He stated the only order of business is the </w:t>
      </w:r>
      <w:r w:rsidR="00937E11">
        <w:t>public</w:t>
      </w:r>
      <w:r>
        <w:t xml:space="preserve"> hearing on the application of Scott and Tina Jensen for </w:t>
      </w:r>
      <w:r w:rsidR="00953A67">
        <w:t>a minor subdivision. The Chair declared a quorum of the DRB was present and opened the Public Hearing @ 4:30 pm with the reading of the Notice: “A</w:t>
      </w:r>
      <w:r w:rsidR="00F22CDB">
        <w:t xml:space="preserve"> request by </w:t>
      </w:r>
      <w:r w:rsidR="00B643BF">
        <w:t xml:space="preserve">Scott </w:t>
      </w:r>
      <w:r w:rsidR="00DD306E">
        <w:t xml:space="preserve">and Tina </w:t>
      </w:r>
      <w:r w:rsidR="00B643BF">
        <w:t xml:space="preserve">Jensen and Dale Wyman </w:t>
      </w:r>
      <w:r w:rsidR="00281CD7">
        <w:t>for the c</w:t>
      </w:r>
      <w:r w:rsidR="00F22CDB" w:rsidRPr="00466609">
        <w:rPr>
          <w:color w:val="000000"/>
        </w:rPr>
        <w:t xml:space="preserve">lassification as a minor subdivision and </w:t>
      </w:r>
      <w:r w:rsidR="00281CD7">
        <w:rPr>
          <w:color w:val="000000"/>
        </w:rPr>
        <w:t xml:space="preserve">for </w:t>
      </w:r>
      <w:r w:rsidR="00F22CDB" w:rsidRPr="00466609">
        <w:rPr>
          <w:color w:val="000000"/>
        </w:rPr>
        <w:t xml:space="preserve">subdivision approval to subdivide </w:t>
      </w:r>
      <w:r w:rsidR="007F3A4A">
        <w:rPr>
          <w:color w:val="000000"/>
        </w:rPr>
        <w:t xml:space="preserve">the </w:t>
      </w:r>
      <w:r w:rsidR="00281CD7">
        <w:rPr>
          <w:color w:val="000000"/>
        </w:rPr>
        <w:t>36.35</w:t>
      </w:r>
      <w:r w:rsidR="00F22CDB" w:rsidRPr="00466609">
        <w:rPr>
          <w:u w:val="single"/>
        </w:rPr>
        <w:t>+</w:t>
      </w:r>
      <w:r w:rsidR="00F22CDB">
        <w:t xml:space="preserve"> acres </w:t>
      </w:r>
      <w:r w:rsidR="007F3A4A">
        <w:t>in Parcel No. 0090</w:t>
      </w:r>
      <w:r w:rsidR="00281CD7">
        <w:t xml:space="preserve">60 </w:t>
      </w:r>
      <w:r w:rsidR="00F22CDB">
        <w:t xml:space="preserve">into </w:t>
      </w:r>
      <w:r w:rsidR="00281CD7">
        <w:t xml:space="preserve">2 parcels: </w:t>
      </w:r>
      <w:r w:rsidR="00F22CDB">
        <w:t xml:space="preserve">Lot 1 consisting of </w:t>
      </w:r>
      <w:r w:rsidR="00281CD7">
        <w:t>23.35</w:t>
      </w:r>
      <w:r w:rsidR="00F22CDB" w:rsidRPr="00466609">
        <w:rPr>
          <w:u w:val="single"/>
        </w:rPr>
        <w:t>+</w:t>
      </w:r>
      <w:r w:rsidR="00F22CDB">
        <w:t xml:space="preserve"> acres</w:t>
      </w:r>
      <w:r w:rsidR="007F3A4A">
        <w:t xml:space="preserve">, Lot 2 consisting of </w:t>
      </w:r>
      <w:r w:rsidR="00281CD7">
        <w:t>13</w:t>
      </w:r>
      <w:r w:rsidR="007F3A4A" w:rsidRPr="00466609">
        <w:rPr>
          <w:u w:val="single"/>
        </w:rPr>
        <w:t>+</w:t>
      </w:r>
      <w:r w:rsidR="007F3A4A" w:rsidRPr="007F3A4A">
        <w:t xml:space="preserve"> acres</w:t>
      </w:r>
      <w:r w:rsidR="00281CD7">
        <w:t>,</w:t>
      </w:r>
      <w:r w:rsidR="00344D9E">
        <w:t xml:space="preserve"> located </w:t>
      </w:r>
      <w:r w:rsidR="00281CD7">
        <w:t>at 557 Parker Hill Road, Grafton, VT</w:t>
      </w:r>
      <w:r w:rsidR="00953A67">
        <w:t xml:space="preserve">.”  He further stated the </w:t>
      </w:r>
      <w:r w:rsidR="00281CD7">
        <w:t>address of Lot 2, if created, will be 696 Parker Hill Road.</w:t>
      </w:r>
    </w:p>
    <w:p w14:paraId="23D3D918" w14:textId="77777777" w:rsidR="00953A67" w:rsidRDefault="00953A67" w:rsidP="00953A67">
      <w:pPr>
        <w:ind w:right="-72"/>
        <w:jc w:val="both"/>
      </w:pPr>
    </w:p>
    <w:p w14:paraId="4C3765CC" w14:textId="77777777" w:rsidR="00953A67" w:rsidRDefault="00953A67" w:rsidP="00953A67">
      <w:pPr>
        <w:ind w:right="-72"/>
        <w:jc w:val="both"/>
      </w:pPr>
      <w:r>
        <w:t xml:space="preserve">The Chair then administered the oath to all who were to testify, namely Scott Jensen, Cathy Siano-Goodwin, Kirk Goodwin and Administrative Officer, Bill Kearns. </w:t>
      </w:r>
    </w:p>
    <w:p w14:paraId="052A5978" w14:textId="77777777" w:rsidR="00953A67" w:rsidRDefault="00953A67" w:rsidP="00953A67">
      <w:pPr>
        <w:ind w:right="-72"/>
        <w:jc w:val="both"/>
      </w:pPr>
    </w:p>
    <w:p w14:paraId="124B5D2F" w14:textId="2ED9D2F7" w:rsidR="00DD306E" w:rsidRDefault="00953A67" w:rsidP="00953A67">
      <w:pPr>
        <w:ind w:right="-72"/>
        <w:jc w:val="both"/>
      </w:pPr>
      <w:r>
        <w:t xml:space="preserve">The Chair then called on Bill Kearns, </w:t>
      </w:r>
      <w:r w:rsidR="00DD306E">
        <w:t>Administrative Officer</w:t>
      </w:r>
      <w:r>
        <w:t>, who testified</w:t>
      </w:r>
      <w:r w:rsidR="00DD306E">
        <w:t xml:space="preserve">: </w:t>
      </w:r>
    </w:p>
    <w:p w14:paraId="04364671" w14:textId="43AB62D6" w:rsidR="00DD306E" w:rsidRDefault="00DD306E" w:rsidP="00953A67">
      <w:pPr>
        <w:pStyle w:val="ListParagraph"/>
        <w:numPr>
          <w:ilvl w:val="0"/>
          <w:numId w:val="9"/>
        </w:numPr>
        <w:ind w:left="360" w:right="-72"/>
        <w:jc w:val="both"/>
      </w:pPr>
      <w:r>
        <w:t>Notice published in Grafton News</w:t>
      </w:r>
      <w:r w:rsidR="006C0B40">
        <w:t xml:space="preserve"> – November 2022 </w:t>
      </w:r>
      <w:r w:rsidR="00953A67">
        <w:t>edition and</w:t>
      </w:r>
      <w:r>
        <w:t xml:space="preserve"> posted and mailed to abutters</w:t>
      </w:r>
      <w:r w:rsidR="006C0B40">
        <w:t xml:space="preserve"> on October 20, 2022</w:t>
      </w:r>
      <w:r>
        <w:t>.</w:t>
      </w:r>
    </w:p>
    <w:p w14:paraId="7F767AF2" w14:textId="1F8AD3BB" w:rsidR="00DD306E" w:rsidRDefault="00DD306E" w:rsidP="00953A67">
      <w:pPr>
        <w:pStyle w:val="ListParagraph"/>
        <w:numPr>
          <w:ilvl w:val="0"/>
          <w:numId w:val="9"/>
        </w:numPr>
        <w:ind w:left="360" w:right="-72"/>
        <w:jc w:val="both"/>
      </w:pPr>
      <w:r>
        <w:t>Dale Wyman joins Scott and Tina Jensen, applicants, in this request</w:t>
      </w:r>
      <w:r w:rsidR="00937E11">
        <w:t xml:space="preserve">. </w:t>
      </w:r>
      <w:r>
        <w:t>The Jense</w:t>
      </w:r>
      <w:r w:rsidR="00953A67">
        <w:t>n</w:t>
      </w:r>
      <w:r>
        <w:t xml:space="preserve">s are purchasing Lot 2 from Dale Wyman. </w:t>
      </w:r>
    </w:p>
    <w:p w14:paraId="149C0679" w14:textId="7152DD98" w:rsidR="0016345C" w:rsidRDefault="00DD306E" w:rsidP="00953A67">
      <w:pPr>
        <w:pStyle w:val="ListParagraph"/>
        <w:numPr>
          <w:ilvl w:val="0"/>
          <w:numId w:val="9"/>
        </w:numPr>
        <w:ind w:left="360" w:right="-72"/>
        <w:jc w:val="both"/>
      </w:pPr>
      <w:r>
        <w:t>Subdivision Regulations allow for one hearing if the matter is a minor subdivision. As this is a two-lot subdivision, it is a minor subdivision</w:t>
      </w:r>
      <w:r w:rsidR="00937E11">
        <w:t xml:space="preserve">. </w:t>
      </w:r>
      <w:r>
        <w:t>The access to the to be created Lot 2 is directly off Parker Hill Rd. and nee</w:t>
      </w:r>
      <w:r w:rsidR="0016345C">
        <w:t>d</w:t>
      </w:r>
      <w:r>
        <w:t>s no Right of Way</w:t>
      </w:r>
      <w:r w:rsidR="00B25F87">
        <w:t xml:space="preserve"> to access this parcel off the Town public highway</w:t>
      </w:r>
      <w:r w:rsidR="00937E11">
        <w:t xml:space="preserve">. </w:t>
      </w:r>
    </w:p>
    <w:p w14:paraId="089A3EFA" w14:textId="20637D2C" w:rsidR="0016345C" w:rsidRDefault="0016345C" w:rsidP="00953A67">
      <w:pPr>
        <w:pStyle w:val="ListParagraph"/>
        <w:numPr>
          <w:ilvl w:val="0"/>
          <w:numId w:val="9"/>
        </w:numPr>
        <w:ind w:left="360" w:right="-72"/>
        <w:jc w:val="both"/>
      </w:pPr>
      <w:r>
        <w:t>Application states the proposed use is for a single</w:t>
      </w:r>
      <w:r w:rsidR="00852598">
        <w:t>-</w:t>
      </w:r>
      <w:r>
        <w:t xml:space="preserve">family residence, </w:t>
      </w:r>
      <w:r w:rsidR="00B25F87">
        <w:t>owners’</w:t>
      </w:r>
      <w:r>
        <w:t xml:space="preserve"> primary residence. </w:t>
      </w:r>
    </w:p>
    <w:p w14:paraId="184BD445" w14:textId="548EF711" w:rsidR="00DD306E" w:rsidRDefault="0016345C" w:rsidP="00953A67">
      <w:pPr>
        <w:pStyle w:val="ListParagraph"/>
        <w:numPr>
          <w:ilvl w:val="0"/>
          <w:numId w:val="9"/>
        </w:numPr>
        <w:ind w:left="360" w:right="-72"/>
        <w:jc w:val="both"/>
      </w:pPr>
      <w:r>
        <w:t>Drawing is, in the opinion of the AO, adequate for this hearing. A formal survey drawing and mylar will be produced at a later date</w:t>
      </w:r>
      <w:r w:rsidR="00937E11">
        <w:t xml:space="preserve">. </w:t>
      </w:r>
    </w:p>
    <w:p w14:paraId="770BC04A" w14:textId="18DCD391" w:rsidR="000F3198" w:rsidRDefault="000F3198" w:rsidP="00953A67">
      <w:pPr>
        <w:ind w:right="-72"/>
        <w:jc w:val="both"/>
      </w:pPr>
    </w:p>
    <w:p w14:paraId="5C6A3FEE" w14:textId="77777777" w:rsidR="00D64AD0" w:rsidRDefault="00D64AD0" w:rsidP="00953A67">
      <w:pPr>
        <w:ind w:right="-72"/>
        <w:jc w:val="both"/>
      </w:pPr>
      <w:r>
        <w:t xml:space="preserve">Applicant: </w:t>
      </w:r>
    </w:p>
    <w:p w14:paraId="777B1AE5" w14:textId="77777777" w:rsidR="00B25F87" w:rsidRDefault="00B25F87" w:rsidP="00B25F87">
      <w:pPr>
        <w:pStyle w:val="ListParagraph"/>
        <w:numPr>
          <w:ilvl w:val="0"/>
          <w:numId w:val="10"/>
        </w:numPr>
        <w:ind w:left="360" w:right="-72"/>
        <w:jc w:val="both"/>
      </w:pPr>
      <w:r>
        <w:t>He and his wife Tina are buying this parcel from Dale Wyman who is his brother-in-law.</w:t>
      </w:r>
    </w:p>
    <w:p w14:paraId="05E8D0A7" w14:textId="32F848F7" w:rsidR="00D64AD0" w:rsidRDefault="00B25F87" w:rsidP="00B25F87">
      <w:pPr>
        <w:pStyle w:val="ListParagraph"/>
        <w:numPr>
          <w:ilvl w:val="0"/>
          <w:numId w:val="10"/>
        </w:numPr>
        <w:ind w:left="360" w:right="-72"/>
        <w:jc w:val="both"/>
      </w:pPr>
      <w:r>
        <w:t xml:space="preserve"> </w:t>
      </w:r>
      <w:r w:rsidR="00D64AD0">
        <w:t>Drawing showing Lots 1 and 2, Pins are not set</w:t>
      </w:r>
      <w:r w:rsidR="00937E11">
        <w:t xml:space="preserve">. </w:t>
      </w:r>
      <w:r>
        <w:t>They</w:t>
      </w:r>
      <w:r w:rsidR="006C0B40">
        <w:t xml:space="preserve"> will be placed before the plat is finalized and recorded. </w:t>
      </w:r>
    </w:p>
    <w:p w14:paraId="096EF335" w14:textId="4F09F3AE" w:rsidR="006C0B40" w:rsidRDefault="006C0B40" w:rsidP="00B25F87">
      <w:pPr>
        <w:pStyle w:val="ListParagraph"/>
        <w:numPr>
          <w:ilvl w:val="0"/>
          <w:numId w:val="10"/>
        </w:numPr>
        <w:ind w:left="360" w:right="-72"/>
        <w:jc w:val="both"/>
      </w:pPr>
      <w:r>
        <w:t xml:space="preserve">The actual survey will have the name of the subdivision and location of the Lots properly set forth and show where pins will be set. All corners will be properly set and marked. </w:t>
      </w:r>
    </w:p>
    <w:p w14:paraId="7E793BF0" w14:textId="7894C04E" w:rsidR="00D64AD0" w:rsidRDefault="00D64AD0" w:rsidP="00B25F87">
      <w:pPr>
        <w:pStyle w:val="ListParagraph"/>
        <w:numPr>
          <w:ilvl w:val="0"/>
          <w:numId w:val="10"/>
        </w:numPr>
        <w:ind w:left="360" w:right="-72"/>
        <w:jc w:val="both"/>
      </w:pPr>
      <w:r>
        <w:t>Driveway access</w:t>
      </w:r>
      <w:r w:rsidR="006C0B40">
        <w:t xml:space="preserve"> is direct</w:t>
      </w:r>
      <w:r>
        <w:t xml:space="preserve"> from Parker Hill Rd. </w:t>
      </w:r>
    </w:p>
    <w:p w14:paraId="02310CF4" w14:textId="4DA5034E" w:rsidR="00D64AD0" w:rsidRDefault="00D64AD0" w:rsidP="00B25F87">
      <w:pPr>
        <w:pStyle w:val="ListParagraph"/>
        <w:numPr>
          <w:ilvl w:val="0"/>
          <w:numId w:val="10"/>
        </w:numPr>
        <w:ind w:left="360" w:right="-72"/>
        <w:jc w:val="both"/>
      </w:pPr>
      <w:r>
        <w:t>Single family home, primary residence of owner</w:t>
      </w:r>
      <w:r w:rsidR="00B25F87">
        <w:t xml:space="preserve">. The house will be less than 200 sq. ft. with a walkout. At some later date there might be an attached garage. </w:t>
      </w:r>
    </w:p>
    <w:p w14:paraId="2EC68C91" w14:textId="48C3BA54" w:rsidR="00D64AD0" w:rsidRDefault="00D64AD0" w:rsidP="00953A67">
      <w:pPr>
        <w:ind w:right="-72"/>
        <w:jc w:val="both"/>
      </w:pPr>
    </w:p>
    <w:p w14:paraId="44E4F3E9" w14:textId="6BC213BF" w:rsidR="00C41989" w:rsidRDefault="00B25F87" w:rsidP="00953A67">
      <w:pPr>
        <w:ind w:right="-72"/>
        <w:jc w:val="both"/>
      </w:pPr>
      <w:r>
        <w:t>The Chair asked if the abutters had any questions of the applicant or the Administrative Officer. Cathy Sia</w:t>
      </w:r>
      <w:r w:rsidR="00C41989">
        <w:t>no</w:t>
      </w:r>
      <w:r>
        <w:t xml:space="preserve">-Goodwin asked for a better </w:t>
      </w:r>
      <w:r w:rsidR="00937E11">
        <w:t>description</w:t>
      </w:r>
      <w:r>
        <w:t xml:space="preserve"> of the location, she was provided with a plat, which the Applicant went over with her, show her details as she requested, for instance the entry driveway location. Cathy commented that the house would not be visible from their parcel, and Scott commented that the location for the house was picked with that in mind</w:t>
      </w:r>
      <w:r w:rsidR="00937E11">
        <w:t xml:space="preserve">. </w:t>
      </w:r>
      <w:r>
        <w:t xml:space="preserve">There were no more comments or questions. </w:t>
      </w:r>
    </w:p>
    <w:p w14:paraId="7CFDD9C3" w14:textId="77777777" w:rsidR="00C41989" w:rsidRDefault="00C41989" w:rsidP="00953A67">
      <w:pPr>
        <w:ind w:right="-72"/>
        <w:jc w:val="both"/>
      </w:pPr>
    </w:p>
    <w:p w14:paraId="5244AE93" w14:textId="33504E20" w:rsidR="00D64AD0" w:rsidRPr="00370BBD" w:rsidRDefault="00C41989" w:rsidP="00953A67">
      <w:pPr>
        <w:ind w:right="-72"/>
        <w:jc w:val="both"/>
      </w:pPr>
      <w:r>
        <w:t xml:space="preserve">At this point </w:t>
      </w:r>
      <w:r w:rsidRPr="00370BBD">
        <w:t xml:space="preserve">Joe Pollio moved, second John Gregory, to find that based on the facts </w:t>
      </w:r>
      <w:r w:rsidR="00937E11" w:rsidRPr="00370BBD">
        <w:t>presented this</w:t>
      </w:r>
      <w:r w:rsidRPr="00370BBD">
        <w:t xml:space="preserve"> is a minor subdivision. Motion passed unanimously</w:t>
      </w:r>
      <w:r w:rsidR="00937E11" w:rsidRPr="00370BBD">
        <w:t xml:space="preserve">. </w:t>
      </w:r>
    </w:p>
    <w:p w14:paraId="6BC07366" w14:textId="77777777" w:rsidR="00C41989" w:rsidRPr="00370BBD" w:rsidRDefault="00C41989" w:rsidP="00953A67">
      <w:pPr>
        <w:ind w:right="-72"/>
        <w:jc w:val="both"/>
      </w:pPr>
    </w:p>
    <w:p w14:paraId="426DB87D" w14:textId="78BA777E" w:rsidR="00D64AD0" w:rsidRDefault="00C41989" w:rsidP="00953A67">
      <w:pPr>
        <w:ind w:right="-72"/>
        <w:jc w:val="both"/>
      </w:pPr>
      <w:r>
        <w:t>The Chair closed the hearing at 4:40 pm.</w:t>
      </w:r>
      <w:r w:rsidR="00D64AD0">
        <w:t xml:space="preserve"> </w:t>
      </w:r>
    </w:p>
    <w:p w14:paraId="1706FDC9" w14:textId="77777777" w:rsidR="00D64AD0" w:rsidRDefault="00D64AD0" w:rsidP="00953A67">
      <w:pPr>
        <w:ind w:right="-72"/>
        <w:jc w:val="both"/>
      </w:pPr>
    </w:p>
    <w:p w14:paraId="18E64A32" w14:textId="6234329D" w:rsidR="000F3198" w:rsidRPr="00370BBD" w:rsidRDefault="00C41989" w:rsidP="00953A67">
      <w:pPr>
        <w:ind w:right="-72"/>
        <w:jc w:val="both"/>
      </w:pPr>
      <w:r w:rsidRPr="00370BBD">
        <w:t>The members of the DRB went into</w:t>
      </w:r>
      <w:r w:rsidR="005D75E6" w:rsidRPr="00370BBD">
        <w:t xml:space="preserve"> Deliberative </w:t>
      </w:r>
      <w:r w:rsidRPr="00370BBD">
        <w:t xml:space="preserve">Session </w:t>
      </w:r>
      <w:r w:rsidR="005D75E6" w:rsidRPr="00370BBD">
        <w:t xml:space="preserve">to decide on </w:t>
      </w:r>
      <w:r w:rsidR="000F3198" w:rsidRPr="00370BBD">
        <w:t>Findings of Fact</w:t>
      </w:r>
      <w:r w:rsidR="005D75E6" w:rsidRPr="00370BBD">
        <w:t xml:space="preserve"> and Adopt a Decision in this matter. </w:t>
      </w:r>
    </w:p>
    <w:p w14:paraId="20FD92F0" w14:textId="77777777" w:rsidR="00CF001C" w:rsidRPr="00494949" w:rsidRDefault="00CF001C" w:rsidP="00953A67">
      <w:pPr>
        <w:ind w:right="-72"/>
        <w:jc w:val="both"/>
        <w:rPr>
          <w:rFonts w:ascii="Garamond" w:hAnsi="Garamond"/>
        </w:rPr>
      </w:pPr>
    </w:p>
    <w:p w14:paraId="3F05C22E" w14:textId="77777777" w:rsidR="0016345C" w:rsidRDefault="0016345C" w:rsidP="00953A67">
      <w:pPr>
        <w:ind w:right="-72"/>
        <w:jc w:val="both"/>
        <w:rPr>
          <w:u w:val="single"/>
        </w:rPr>
      </w:pPr>
      <w:r w:rsidRPr="00494949">
        <w:rPr>
          <w:u w:val="single"/>
        </w:rPr>
        <w:t>Findings of Fact:</w:t>
      </w:r>
    </w:p>
    <w:p w14:paraId="5AF7401E" w14:textId="2B8E0503" w:rsidR="0016345C" w:rsidRPr="00370BBD" w:rsidRDefault="0016345C" w:rsidP="00953A67">
      <w:pPr>
        <w:ind w:right="-72"/>
        <w:jc w:val="both"/>
      </w:pPr>
      <w:r w:rsidRPr="00370BBD">
        <w:t>Motion by</w:t>
      </w:r>
      <w:r w:rsidR="00C41989" w:rsidRPr="00370BBD">
        <w:t xml:space="preserve"> John Gregory, second Joe Pollio </w:t>
      </w:r>
      <w:r w:rsidRPr="00370BBD">
        <w:t xml:space="preserve">to make the following findings. </w:t>
      </w:r>
    </w:p>
    <w:p w14:paraId="5A639DD5" w14:textId="77777777" w:rsidR="0016345C" w:rsidRPr="00370BBD" w:rsidRDefault="0016345C" w:rsidP="00953A67">
      <w:pPr>
        <w:ind w:right="-72"/>
        <w:jc w:val="both"/>
      </w:pPr>
    </w:p>
    <w:p w14:paraId="3AAAD38A" w14:textId="196F0609" w:rsidR="0016345C" w:rsidRPr="008C55A7" w:rsidRDefault="0016345C" w:rsidP="00C41989">
      <w:pPr>
        <w:pStyle w:val="ListParagraph"/>
        <w:numPr>
          <w:ilvl w:val="0"/>
          <w:numId w:val="7"/>
        </w:numPr>
        <w:tabs>
          <w:tab w:val="center" w:pos="4680"/>
          <w:tab w:val="left" w:pos="6470"/>
        </w:tabs>
        <w:ind w:right="-72"/>
        <w:jc w:val="both"/>
        <w:rPr>
          <w:rFonts w:cs="Times New Roman"/>
          <w:color w:val="000000"/>
        </w:rPr>
      </w:pPr>
      <w:r>
        <w:t>Notice of the hearing of November 15, 2022</w:t>
      </w:r>
      <w:r w:rsidR="006C0B40">
        <w:t>,</w:t>
      </w:r>
      <w:r>
        <w:t xml:space="preserve"> was published in the November </w:t>
      </w:r>
      <w:r w:rsidR="006C0B40">
        <w:t xml:space="preserve">2022 edition of the </w:t>
      </w:r>
      <w:r>
        <w:t xml:space="preserve">Grafton News, posted on the bulletin boards and on the property as required on October 20, </w:t>
      </w:r>
      <w:r w:rsidR="00937E11">
        <w:t>2022,</w:t>
      </w:r>
      <w:r w:rsidR="000A718F">
        <w:t xml:space="preserve"> and sent to the abutters on that same date. </w:t>
      </w:r>
    </w:p>
    <w:p w14:paraId="468222D5" w14:textId="68678A1C" w:rsidR="0016345C" w:rsidRPr="008C55A7" w:rsidRDefault="0016345C" w:rsidP="00C41989">
      <w:pPr>
        <w:pStyle w:val="ListParagraph"/>
        <w:numPr>
          <w:ilvl w:val="0"/>
          <w:numId w:val="7"/>
        </w:numPr>
        <w:tabs>
          <w:tab w:val="center" w:pos="4680"/>
          <w:tab w:val="left" w:pos="6470"/>
        </w:tabs>
        <w:ind w:right="-72"/>
        <w:jc w:val="both"/>
        <w:rPr>
          <w:rFonts w:cs="Times New Roman"/>
          <w:color w:val="000000"/>
        </w:rPr>
      </w:pPr>
      <w:r w:rsidRPr="008C55A7">
        <w:rPr>
          <w:rFonts w:cs="Times New Roman"/>
        </w:rPr>
        <w:t xml:space="preserve">All interested persons were given the opportunity to testify. Those testifying were </w:t>
      </w:r>
      <w:r w:rsidR="00C41989">
        <w:rPr>
          <w:rFonts w:cs="Times New Roman"/>
        </w:rPr>
        <w:t xml:space="preserve">Applicant Scott Jensen, abutter Cathy Siano-Goodwin, and Administrative </w:t>
      </w:r>
      <w:r w:rsidR="00937E11">
        <w:rPr>
          <w:rFonts w:cs="Times New Roman"/>
        </w:rPr>
        <w:t>Officer</w:t>
      </w:r>
      <w:r w:rsidR="00C41989">
        <w:rPr>
          <w:rFonts w:cs="Times New Roman"/>
        </w:rPr>
        <w:t xml:space="preserve"> </w:t>
      </w:r>
      <w:r w:rsidRPr="008C55A7">
        <w:rPr>
          <w:rFonts w:cs="Times New Roman"/>
          <w:color w:val="000000"/>
        </w:rPr>
        <w:t>Bill Kearns</w:t>
      </w:r>
      <w:r w:rsidR="00C41989">
        <w:rPr>
          <w:rFonts w:cs="Times New Roman"/>
          <w:color w:val="000000"/>
        </w:rPr>
        <w:t>.</w:t>
      </w:r>
    </w:p>
    <w:p w14:paraId="097F2D15" w14:textId="5E04EA32" w:rsidR="0016345C" w:rsidRPr="00D64AD0" w:rsidRDefault="00D64AD0" w:rsidP="00C41989">
      <w:pPr>
        <w:pStyle w:val="ListParagraph"/>
        <w:numPr>
          <w:ilvl w:val="0"/>
          <w:numId w:val="7"/>
        </w:numPr>
        <w:ind w:right="-72"/>
        <w:jc w:val="both"/>
        <w:rPr>
          <w:rFonts w:ascii="Garamond" w:hAnsi="Garamond"/>
        </w:rPr>
      </w:pPr>
      <w:r w:rsidRPr="00D64AD0">
        <w:rPr>
          <w:rFonts w:cs="Times New Roman"/>
        </w:rPr>
        <w:t>Scott Jensen</w:t>
      </w:r>
      <w:r w:rsidR="0016345C" w:rsidRPr="00D64AD0">
        <w:rPr>
          <w:rFonts w:cs="Times New Roman"/>
        </w:rPr>
        <w:t xml:space="preserve"> presented the </w:t>
      </w:r>
      <w:r w:rsidRPr="00D64AD0">
        <w:rPr>
          <w:rFonts w:cs="Times New Roman"/>
        </w:rPr>
        <w:t xml:space="preserve">rough drawn </w:t>
      </w:r>
      <w:r w:rsidR="0016345C" w:rsidRPr="00D64AD0">
        <w:rPr>
          <w:rFonts w:cs="Times New Roman"/>
        </w:rPr>
        <w:t xml:space="preserve">Plat which shows </w:t>
      </w:r>
      <w:r w:rsidRPr="00D64AD0">
        <w:rPr>
          <w:rFonts w:cs="Times New Roman"/>
        </w:rPr>
        <w:t>36.35+/</w:t>
      </w:r>
      <w:r w:rsidR="0016345C" w:rsidRPr="00D64AD0">
        <w:rPr>
          <w:rFonts w:cs="Times New Roman"/>
        </w:rPr>
        <w:t xml:space="preserve">- acres being divided into </w:t>
      </w:r>
      <w:r w:rsidRPr="00D64AD0">
        <w:rPr>
          <w:rFonts w:cs="Times New Roman"/>
        </w:rPr>
        <w:t xml:space="preserve">two </w:t>
      </w:r>
      <w:r w:rsidR="0016345C" w:rsidRPr="00D64AD0">
        <w:rPr>
          <w:rFonts w:cs="Times New Roman"/>
        </w:rPr>
        <w:t>Parcels: Lot</w:t>
      </w:r>
      <w:r w:rsidR="0016345C" w:rsidRPr="00D64AD0">
        <w:t xml:space="preserve"> 1 consisting of </w:t>
      </w:r>
      <w:r w:rsidRPr="00D64AD0">
        <w:t>23.35</w:t>
      </w:r>
      <w:r w:rsidR="0016345C" w:rsidRPr="00D64AD0">
        <w:rPr>
          <w:u w:val="single"/>
        </w:rPr>
        <w:t>+</w:t>
      </w:r>
      <w:r w:rsidR="0016345C" w:rsidRPr="00D64AD0">
        <w:t xml:space="preserve"> acres, </w:t>
      </w:r>
      <w:r w:rsidRPr="00D64AD0">
        <w:t xml:space="preserve">and </w:t>
      </w:r>
      <w:r w:rsidR="0016345C" w:rsidRPr="00D64AD0">
        <w:t xml:space="preserve">Lot 2 consisting of </w:t>
      </w:r>
      <w:r w:rsidRPr="00D64AD0">
        <w:t>13</w:t>
      </w:r>
      <w:r w:rsidR="0016345C" w:rsidRPr="00D64AD0">
        <w:rPr>
          <w:u w:val="single"/>
        </w:rPr>
        <w:t>+</w:t>
      </w:r>
      <w:r w:rsidR="0016345C" w:rsidRPr="00D64AD0">
        <w:t xml:space="preserve"> acres</w:t>
      </w:r>
      <w:r w:rsidRPr="00D64AD0">
        <w:t>.</w:t>
      </w:r>
      <w:r w:rsidR="0016345C" w:rsidRPr="00D64AD0">
        <w:t xml:space="preserve"> </w:t>
      </w:r>
    </w:p>
    <w:p w14:paraId="6EF14116" w14:textId="244E45D4" w:rsidR="0016345C" w:rsidRPr="00494949" w:rsidRDefault="0016345C" w:rsidP="00C41989">
      <w:pPr>
        <w:pStyle w:val="ListParagraph"/>
        <w:numPr>
          <w:ilvl w:val="0"/>
          <w:numId w:val="7"/>
        </w:numPr>
        <w:ind w:right="-72"/>
        <w:jc w:val="both"/>
        <w:rPr>
          <w:rFonts w:ascii="Garamond" w:hAnsi="Garamond"/>
        </w:rPr>
      </w:pPr>
      <w:r>
        <w:rPr>
          <w:rFonts w:cs="Times New Roman"/>
        </w:rPr>
        <w:t>The pins shown on the Plat</w:t>
      </w:r>
      <w:r w:rsidR="00C41989">
        <w:rPr>
          <w:rFonts w:cs="Times New Roman"/>
        </w:rPr>
        <w:t xml:space="preserve"> </w:t>
      </w:r>
      <w:r w:rsidR="00D64AD0">
        <w:rPr>
          <w:rFonts w:cs="Times New Roman"/>
        </w:rPr>
        <w:t xml:space="preserve">have not been </w:t>
      </w:r>
      <w:r w:rsidR="00937E11">
        <w:rPr>
          <w:rFonts w:cs="Times New Roman"/>
        </w:rPr>
        <w:t>placed but</w:t>
      </w:r>
      <w:r>
        <w:rPr>
          <w:rFonts w:cs="Times New Roman"/>
        </w:rPr>
        <w:t xml:space="preserve"> would be placed once the Plat and subdivision as proposed were approved. </w:t>
      </w:r>
    </w:p>
    <w:p w14:paraId="66F8CFF7" w14:textId="77777777" w:rsidR="007C278A" w:rsidRPr="007C278A" w:rsidRDefault="007C278A" w:rsidP="00C41989">
      <w:pPr>
        <w:pStyle w:val="ListParagraph"/>
        <w:numPr>
          <w:ilvl w:val="0"/>
          <w:numId w:val="7"/>
        </w:numPr>
        <w:ind w:right="-72"/>
        <w:jc w:val="both"/>
        <w:rPr>
          <w:rFonts w:ascii="Garamond" w:hAnsi="Garamond"/>
        </w:rPr>
      </w:pPr>
      <w:r>
        <w:rPr>
          <w:rFonts w:cs="Times New Roman"/>
        </w:rPr>
        <w:t xml:space="preserve">The applicants propose to use the newly created lot for their owner-occupied single-family residence. </w:t>
      </w:r>
    </w:p>
    <w:p w14:paraId="385AED9E" w14:textId="54915864" w:rsidR="0016345C" w:rsidRPr="00494949" w:rsidRDefault="0016345C" w:rsidP="00C41989">
      <w:pPr>
        <w:pStyle w:val="ListParagraph"/>
        <w:numPr>
          <w:ilvl w:val="0"/>
          <w:numId w:val="7"/>
        </w:numPr>
        <w:ind w:right="-72"/>
        <w:jc w:val="both"/>
        <w:rPr>
          <w:rFonts w:ascii="Garamond" w:hAnsi="Garamond"/>
        </w:rPr>
      </w:pPr>
      <w:r>
        <w:rPr>
          <w:rFonts w:cs="Times New Roman"/>
        </w:rPr>
        <w:t>This subdivision was, by motion of the Board, declared to be a Minor Subdivision.</w:t>
      </w:r>
    </w:p>
    <w:p w14:paraId="135A8D5C" w14:textId="77777777" w:rsidR="0016345C" w:rsidRPr="00494949" w:rsidRDefault="0016345C" w:rsidP="00C41989">
      <w:pPr>
        <w:pStyle w:val="ListParagraph"/>
        <w:numPr>
          <w:ilvl w:val="0"/>
          <w:numId w:val="7"/>
        </w:numPr>
        <w:ind w:right="-72"/>
        <w:jc w:val="both"/>
        <w:rPr>
          <w:rFonts w:ascii="Garamond" w:hAnsi="Garamond"/>
        </w:rPr>
      </w:pPr>
      <w:r>
        <w:rPr>
          <w:rFonts w:cs="Times New Roman"/>
        </w:rPr>
        <w:t xml:space="preserve">The Plat presented met all the criteria required of a Plat of a minor subdivision. </w:t>
      </w:r>
    </w:p>
    <w:p w14:paraId="13EDB66D" w14:textId="77777777" w:rsidR="0016345C" w:rsidRDefault="0016345C" w:rsidP="00953A67">
      <w:pPr>
        <w:ind w:right="-72"/>
        <w:jc w:val="both"/>
        <w:rPr>
          <w:rFonts w:ascii="Garamond" w:hAnsi="Garamond"/>
        </w:rPr>
      </w:pPr>
    </w:p>
    <w:p w14:paraId="217C2953" w14:textId="6E5506AD" w:rsidR="0016345C" w:rsidRDefault="0016345C" w:rsidP="00953A67">
      <w:pPr>
        <w:ind w:right="-72"/>
        <w:jc w:val="both"/>
        <w:rPr>
          <w:rFonts w:ascii="Garamond" w:hAnsi="Garamond"/>
        </w:rPr>
      </w:pPr>
      <w:r w:rsidRPr="00370BBD">
        <w:rPr>
          <w:rFonts w:ascii="Garamond" w:hAnsi="Garamond"/>
        </w:rPr>
        <w:t>Motion Passed</w:t>
      </w:r>
      <w:r w:rsidR="00C41989" w:rsidRPr="00370BBD">
        <w:rPr>
          <w:rFonts w:ascii="Garamond" w:hAnsi="Garamond"/>
        </w:rPr>
        <w:t xml:space="preserve"> unanimously</w:t>
      </w:r>
      <w:r w:rsidR="00937E11">
        <w:rPr>
          <w:rFonts w:ascii="Garamond" w:hAnsi="Garamond"/>
        </w:rPr>
        <w:t xml:space="preserve">. </w:t>
      </w:r>
    </w:p>
    <w:p w14:paraId="334A11B2" w14:textId="77777777" w:rsidR="0016345C" w:rsidRDefault="0016345C" w:rsidP="00953A67">
      <w:pPr>
        <w:ind w:right="-72"/>
        <w:jc w:val="both"/>
        <w:rPr>
          <w:rFonts w:ascii="Garamond" w:hAnsi="Garamond"/>
        </w:rPr>
      </w:pPr>
    </w:p>
    <w:p w14:paraId="3B95AA83" w14:textId="77777777" w:rsidR="0016345C" w:rsidRPr="00370BBD" w:rsidRDefault="0016345C" w:rsidP="00953A67">
      <w:pPr>
        <w:ind w:right="-72"/>
        <w:jc w:val="both"/>
        <w:rPr>
          <w:rFonts w:ascii="Garamond" w:hAnsi="Garamond"/>
          <w:u w:val="single"/>
        </w:rPr>
      </w:pPr>
      <w:r w:rsidRPr="00370BBD">
        <w:rPr>
          <w:rFonts w:ascii="Garamond" w:hAnsi="Garamond"/>
          <w:u w:val="single"/>
        </w:rPr>
        <w:t>Decision of the Development Review Board:</w:t>
      </w:r>
    </w:p>
    <w:p w14:paraId="77BB3D0D" w14:textId="77777777" w:rsidR="0016345C" w:rsidRPr="00370BBD" w:rsidRDefault="0016345C" w:rsidP="00953A67">
      <w:pPr>
        <w:ind w:right="-72"/>
        <w:jc w:val="both"/>
        <w:rPr>
          <w:rFonts w:ascii="Garamond" w:hAnsi="Garamond"/>
          <w:u w:val="single"/>
        </w:rPr>
      </w:pPr>
    </w:p>
    <w:p w14:paraId="65221747" w14:textId="450A7AA8" w:rsidR="0016345C" w:rsidRDefault="006C0B40" w:rsidP="00953A67">
      <w:pPr>
        <w:spacing w:after="240"/>
        <w:ind w:right="-72"/>
        <w:jc w:val="both"/>
      </w:pPr>
      <w:r>
        <w:rPr>
          <w:rFonts w:ascii="Garamond" w:hAnsi="Garamond"/>
        </w:rPr>
        <w:t xml:space="preserve">Motion by </w:t>
      </w:r>
      <w:r w:rsidR="00370BBD">
        <w:rPr>
          <w:rFonts w:ascii="Garamond" w:hAnsi="Garamond"/>
        </w:rPr>
        <w:t>Joe Pollio, second John Gregory as follows:</w:t>
      </w:r>
      <w:r>
        <w:rPr>
          <w:rFonts w:ascii="Garamond" w:hAnsi="Garamond"/>
        </w:rPr>
        <w:t xml:space="preserve"> </w:t>
      </w:r>
      <w:r w:rsidR="0016345C">
        <w:rPr>
          <w:rFonts w:ascii="Garamond" w:hAnsi="Garamond"/>
        </w:rPr>
        <w:t xml:space="preserve">The </w:t>
      </w:r>
      <w:r w:rsidR="0016345C">
        <w:t xml:space="preserve">request by </w:t>
      </w:r>
      <w:r>
        <w:t>Scott and Tina Jensen and Dale Wyman for the c</w:t>
      </w:r>
      <w:r w:rsidRPr="00466609">
        <w:rPr>
          <w:color w:val="000000"/>
        </w:rPr>
        <w:t xml:space="preserve">lassification as a minor subdivision and </w:t>
      </w:r>
      <w:r>
        <w:rPr>
          <w:color w:val="000000"/>
        </w:rPr>
        <w:t xml:space="preserve">for </w:t>
      </w:r>
      <w:r w:rsidRPr="00466609">
        <w:rPr>
          <w:color w:val="000000"/>
        </w:rPr>
        <w:t xml:space="preserve">subdivision approval to subdivide </w:t>
      </w:r>
      <w:r>
        <w:rPr>
          <w:color w:val="000000"/>
        </w:rPr>
        <w:t>the 36.35</w:t>
      </w:r>
      <w:r w:rsidRPr="00466609">
        <w:rPr>
          <w:u w:val="single"/>
        </w:rPr>
        <w:t>+</w:t>
      </w:r>
      <w:r>
        <w:t xml:space="preserve"> acres in Parcel No. 009060 into 2 parcels: Lot 1 consisting of 23.35</w:t>
      </w:r>
      <w:r w:rsidRPr="00466609">
        <w:rPr>
          <w:u w:val="single"/>
        </w:rPr>
        <w:t>+</w:t>
      </w:r>
      <w:r>
        <w:t xml:space="preserve"> acres, Lot 2 consisting of 13</w:t>
      </w:r>
      <w:r w:rsidRPr="00466609">
        <w:rPr>
          <w:u w:val="single"/>
        </w:rPr>
        <w:t>+</w:t>
      </w:r>
      <w:r w:rsidRPr="007F3A4A">
        <w:t xml:space="preserve"> acres</w:t>
      </w:r>
      <w:r>
        <w:t xml:space="preserve">, located at 557 Parker Hill Road, Grafton, VT. </w:t>
      </w:r>
      <w:r w:rsidR="0016345C">
        <w:t>is approved subject to the following conditions:</w:t>
      </w:r>
    </w:p>
    <w:p w14:paraId="67E3ECDC" w14:textId="2CE09718" w:rsidR="0016345C" w:rsidRDefault="0016345C" w:rsidP="00370BBD">
      <w:pPr>
        <w:pStyle w:val="ListParagraph"/>
        <w:numPr>
          <w:ilvl w:val="0"/>
          <w:numId w:val="8"/>
        </w:numPr>
        <w:spacing w:after="240"/>
        <w:ind w:left="360" w:right="-72"/>
        <w:jc w:val="both"/>
      </w:pPr>
      <w:r>
        <w:t>All pins shall be set as depicted on the Plat</w:t>
      </w:r>
      <w:r w:rsidR="006C0B40">
        <w:t xml:space="preserve"> before the Plat is recorded</w:t>
      </w:r>
      <w:r w:rsidR="00370BBD">
        <w:t>; and</w:t>
      </w:r>
    </w:p>
    <w:p w14:paraId="2E02AD9B" w14:textId="785D83BC" w:rsidR="0016345C" w:rsidRDefault="0016345C" w:rsidP="00370BBD">
      <w:pPr>
        <w:pStyle w:val="ListParagraph"/>
        <w:numPr>
          <w:ilvl w:val="0"/>
          <w:numId w:val="8"/>
        </w:numPr>
        <w:spacing w:after="240"/>
        <w:ind w:left="360" w:right="-72"/>
        <w:jc w:val="both"/>
      </w:pPr>
      <w:r>
        <w:t xml:space="preserve">The applicant at its expense shall cause a mylar of the Plat, properly executed by the </w:t>
      </w:r>
      <w:r w:rsidR="00370BBD">
        <w:t>Chair</w:t>
      </w:r>
      <w:r>
        <w:t xml:space="preserve"> of the Development Review Board to be filed in the public records of the Town of Grafton within one hundred and eighty (180) days of the date of final plan approval, that is, from the date of this decision, or the approval expires</w:t>
      </w:r>
      <w:r w:rsidR="006C0B40">
        <w:t>.</w:t>
      </w:r>
    </w:p>
    <w:p w14:paraId="652659A3" w14:textId="4E962B6D" w:rsidR="0016345C" w:rsidRDefault="0016345C" w:rsidP="00953A67">
      <w:pPr>
        <w:spacing w:after="240"/>
        <w:ind w:right="-72"/>
        <w:jc w:val="both"/>
      </w:pPr>
      <w:r>
        <w:t>Other Business</w:t>
      </w:r>
      <w:r w:rsidR="007217C9">
        <w:t xml:space="preserve">. There was none. </w:t>
      </w:r>
    </w:p>
    <w:p w14:paraId="62EA04EB" w14:textId="60C1582C" w:rsidR="00B57244" w:rsidRDefault="0016345C" w:rsidP="00953A67">
      <w:pPr>
        <w:ind w:right="-72"/>
        <w:jc w:val="both"/>
      </w:pPr>
      <w:r>
        <w:t xml:space="preserve">Adjournment. </w:t>
      </w:r>
      <w:r w:rsidR="007217C9">
        <w:t xml:space="preserve">There being </w:t>
      </w:r>
      <w:r w:rsidR="00AD0AB2">
        <w:t>no other</w:t>
      </w:r>
      <w:r w:rsidR="007217C9">
        <w:t xml:space="preserve"> business, on motion by Steve Fisher, Second John Gregory to adjourn, which passed unanimously, the Meeting was adjourned at 4:47 pm.</w:t>
      </w:r>
    </w:p>
    <w:p w14:paraId="5F4038D3" w14:textId="3DD0CE9E" w:rsidR="007217C9" w:rsidRDefault="007217C9" w:rsidP="00953A67">
      <w:pPr>
        <w:ind w:right="-72"/>
        <w:jc w:val="both"/>
      </w:pPr>
    </w:p>
    <w:p w14:paraId="0E9366AF" w14:textId="45EB4AF7" w:rsidR="007217C9" w:rsidRDefault="007217C9" w:rsidP="00953A67">
      <w:pPr>
        <w:ind w:right="-72"/>
        <w:jc w:val="both"/>
      </w:pPr>
      <w:r>
        <w:t xml:space="preserve">Respectfully submitted, </w:t>
      </w:r>
    </w:p>
    <w:p w14:paraId="675F7937" w14:textId="54BA2432" w:rsidR="007217C9" w:rsidRDefault="007217C9" w:rsidP="00953A67">
      <w:pPr>
        <w:ind w:right="-72"/>
        <w:jc w:val="both"/>
      </w:pPr>
    </w:p>
    <w:p w14:paraId="040B7D9D" w14:textId="6EA7BF44" w:rsidR="007217C9" w:rsidRDefault="007217C9" w:rsidP="00953A67">
      <w:pPr>
        <w:ind w:right="-72"/>
        <w:jc w:val="both"/>
        <w:rPr>
          <w:rFonts w:ascii="Garamond" w:hAnsi="Garamond" w:cs="Times New Roman"/>
          <w:sz w:val="20"/>
          <w:szCs w:val="20"/>
        </w:rPr>
      </w:pPr>
    </w:p>
    <w:p w14:paraId="3461963B" w14:textId="0AD58FD8" w:rsidR="007217C9" w:rsidRPr="007217C9" w:rsidRDefault="007217C9" w:rsidP="00953A67">
      <w:pPr>
        <w:ind w:right="-72"/>
        <w:jc w:val="both"/>
        <w:rPr>
          <w:rFonts w:ascii="Garamond" w:hAnsi="Garamond" w:cs="Times New Roman"/>
        </w:rPr>
      </w:pPr>
      <w:r w:rsidRPr="007217C9">
        <w:rPr>
          <w:rFonts w:ascii="Garamond" w:hAnsi="Garamond" w:cs="Times New Roman"/>
        </w:rPr>
        <w:t xml:space="preserve">William G. Kearns, Administrative Officer. </w:t>
      </w:r>
    </w:p>
    <w:p w14:paraId="0D7983FA" w14:textId="1CCF509A" w:rsidR="00B57244" w:rsidRDefault="00564B08" w:rsidP="00953A67">
      <w:pPr>
        <w:pStyle w:val="ListParagraph"/>
        <w:tabs>
          <w:tab w:val="left" w:pos="0"/>
          <w:tab w:val="left" w:pos="1910"/>
        </w:tabs>
        <w:spacing w:after="240"/>
        <w:ind w:left="0"/>
        <w:jc w:val="both"/>
        <w:rPr>
          <w:rFonts w:ascii="Garamond" w:hAnsi="Garamond" w:cs="Times New Roman"/>
          <w:sz w:val="20"/>
          <w:szCs w:val="20"/>
        </w:rPr>
      </w:pPr>
      <w:r>
        <w:rPr>
          <w:rFonts w:ascii="Garamond" w:hAnsi="Garamond" w:cs="Times New Roman"/>
          <w:sz w:val="20"/>
          <w:szCs w:val="20"/>
        </w:rPr>
        <w:tab/>
      </w:r>
    </w:p>
    <w:sectPr w:rsidR="00B57244" w:rsidSect="00C93D5B">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0C75" w14:textId="77777777" w:rsidR="00F3598C" w:rsidRDefault="00F3598C">
      <w:pPr>
        <w:rPr>
          <w:rFonts w:cs="Times New Roman"/>
        </w:rPr>
      </w:pPr>
      <w:r>
        <w:rPr>
          <w:rFonts w:cs="Times New Roman"/>
        </w:rPr>
        <w:separator/>
      </w:r>
    </w:p>
  </w:endnote>
  <w:endnote w:type="continuationSeparator" w:id="0">
    <w:p w14:paraId="21F1FC18" w14:textId="77777777" w:rsidR="00F3598C" w:rsidRDefault="00F359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3BCE" w14:textId="77777777" w:rsidR="00A50CB1" w:rsidRDefault="00A50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2D5B" w14:textId="7B024172" w:rsidR="00F44772" w:rsidRDefault="00564B08">
    <w:r>
      <w:rPr>
        <w:noProof/>
      </w:rPr>
      <mc:AlternateContent>
        <mc:Choice Requires="wps">
          <w:drawing>
            <wp:anchor distT="182880" distB="182880" distL="114300" distR="114300" simplePos="0" relativeHeight="251659264" behindDoc="0" locked="0" layoutInCell="1" allowOverlap="0" wp14:anchorId="2095B6E4" wp14:editId="2A9601B3">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64B08" w14:paraId="140E4B72" w14:textId="77777777">
                            <w:trPr>
                              <w:trHeight w:hRule="exact" w:val="360"/>
                            </w:trPr>
                            <w:tc>
                              <w:tcPr>
                                <w:tcW w:w="100" w:type="pct"/>
                                <w:shd w:val="clear" w:color="auto" w:fill="4F81BD" w:themeFill="accent1"/>
                                <w:vAlign w:val="center"/>
                              </w:tcPr>
                              <w:p w14:paraId="7AD7CB6E" w14:textId="77777777" w:rsidR="00564B08" w:rsidRDefault="00564B08">
                                <w:pPr>
                                  <w:pStyle w:val="Footer"/>
                                  <w:spacing w:before="40" w:after="40"/>
                                  <w:rPr>
                                    <w:color w:val="FFFFFF" w:themeColor="background1"/>
                                  </w:rPr>
                                </w:pPr>
                              </w:p>
                            </w:tc>
                            <w:tc>
                              <w:tcPr>
                                <w:tcW w:w="4650" w:type="pct"/>
                                <w:shd w:val="clear" w:color="auto" w:fill="31849B" w:themeFill="accent5" w:themeFillShade="BF"/>
                                <w:vAlign w:val="center"/>
                              </w:tcPr>
                              <w:p w14:paraId="43A43D69" w14:textId="3971D435" w:rsidR="00564B08" w:rsidRDefault="00564B08">
                                <w:pPr>
                                  <w:pStyle w:val="Footer"/>
                                  <w:spacing w:before="40" w:after="40"/>
                                  <w:ind w:left="144" w:right="144"/>
                                  <w:rPr>
                                    <w:color w:val="FFFFFF" w:themeColor="background1"/>
                                  </w:rPr>
                                </w:pPr>
                                <w:r>
                                  <w:rPr>
                                    <w:color w:val="FFFFFF" w:themeColor="background1"/>
                                  </w:rPr>
                                  <w:t>Agenda DRB November 15, 2022</w:t>
                                </w:r>
                              </w:p>
                            </w:tc>
                            <w:tc>
                              <w:tcPr>
                                <w:tcW w:w="250" w:type="pct"/>
                                <w:shd w:val="clear" w:color="auto" w:fill="4F81BD" w:themeFill="accent1"/>
                                <w:vAlign w:val="center"/>
                              </w:tcPr>
                              <w:p w14:paraId="0ED4C821" w14:textId="77777777" w:rsidR="00564B08" w:rsidRDefault="00564B0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3710366" w14:textId="77777777" w:rsidR="00564B08" w:rsidRDefault="00564B0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095B6E4"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564B08" w14:paraId="140E4B72" w14:textId="77777777">
                      <w:trPr>
                        <w:trHeight w:hRule="exact" w:val="360"/>
                      </w:trPr>
                      <w:tc>
                        <w:tcPr>
                          <w:tcW w:w="100" w:type="pct"/>
                          <w:shd w:val="clear" w:color="auto" w:fill="4F81BD" w:themeFill="accent1"/>
                          <w:vAlign w:val="center"/>
                        </w:tcPr>
                        <w:p w14:paraId="7AD7CB6E" w14:textId="77777777" w:rsidR="00564B08" w:rsidRDefault="00564B08">
                          <w:pPr>
                            <w:pStyle w:val="Footer"/>
                            <w:spacing w:before="40" w:after="40"/>
                            <w:rPr>
                              <w:color w:val="FFFFFF" w:themeColor="background1"/>
                            </w:rPr>
                          </w:pPr>
                        </w:p>
                      </w:tc>
                      <w:tc>
                        <w:tcPr>
                          <w:tcW w:w="4650" w:type="pct"/>
                          <w:shd w:val="clear" w:color="auto" w:fill="31849B" w:themeFill="accent5" w:themeFillShade="BF"/>
                          <w:vAlign w:val="center"/>
                        </w:tcPr>
                        <w:p w14:paraId="43A43D69" w14:textId="3971D435" w:rsidR="00564B08" w:rsidRDefault="00564B08">
                          <w:pPr>
                            <w:pStyle w:val="Footer"/>
                            <w:spacing w:before="40" w:after="40"/>
                            <w:ind w:left="144" w:right="144"/>
                            <w:rPr>
                              <w:color w:val="FFFFFF" w:themeColor="background1"/>
                            </w:rPr>
                          </w:pPr>
                          <w:r>
                            <w:rPr>
                              <w:color w:val="FFFFFF" w:themeColor="background1"/>
                            </w:rPr>
                            <w:t>Agenda DRB November 15, 2022</w:t>
                          </w:r>
                        </w:p>
                      </w:tc>
                      <w:tc>
                        <w:tcPr>
                          <w:tcW w:w="250" w:type="pct"/>
                          <w:shd w:val="clear" w:color="auto" w:fill="4F81BD" w:themeFill="accent1"/>
                          <w:vAlign w:val="center"/>
                        </w:tcPr>
                        <w:p w14:paraId="0ED4C821" w14:textId="77777777" w:rsidR="00564B08" w:rsidRDefault="00564B0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3710366" w14:textId="77777777" w:rsidR="00564B08" w:rsidRDefault="00564B08">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B143" w14:textId="77777777" w:rsidR="00A50CB1" w:rsidRDefault="00A5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ABEC" w14:textId="77777777" w:rsidR="00F3598C" w:rsidRDefault="00F3598C">
      <w:pPr>
        <w:rPr>
          <w:rFonts w:cs="Times New Roman"/>
        </w:rPr>
      </w:pPr>
      <w:r>
        <w:rPr>
          <w:rFonts w:cs="Times New Roman"/>
        </w:rPr>
        <w:separator/>
      </w:r>
    </w:p>
  </w:footnote>
  <w:footnote w:type="continuationSeparator" w:id="0">
    <w:p w14:paraId="46B7796B" w14:textId="77777777" w:rsidR="00F3598C" w:rsidRDefault="00F3598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E7C0" w14:textId="4529FD5D" w:rsidR="00A50CB1" w:rsidRDefault="00000000">
    <w:pPr>
      <w:pStyle w:val="Header"/>
    </w:pPr>
    <w:r>
      <w:rPr>
        <w:noProof/>
      </w:rPr>
      <w:pict w14:anchorId="36D5D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51876" o:spid="_x0000_s1026"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A38" w14:textId="69CCEA53" w:rsidR="00A50CB1" w:rsidRDefault="00000000">
    <w:pPr>
      <w:pStyle w:val="Header"/>
    </w:pPr>
    <w:r>
      <w:rPr>
        <w:noProof/>
      </w:rPr>
      <w:pict w14:anchorId="2E616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51877" o:spid="_x0000_s1027"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4F15" w14:textId="72B8709E" w:rsidR="00A50CB1" w:rsidRDefault="00000000">
    <w:pPr>
      <w:pStyle w:val="Header"/>
    </w:pPr>
    <w:r>
      <w:rPr>
        <w:noProof/>
      </w:rPr>
      <w:pict w14:anchorId="64FDA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151875" o:spid="_x0000_s1025"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996893"/>
    <w:multiLevelType w:val="hybridMultilevel"/>
    <w:tmpl w:val="AA58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A3F67"/>
    <w:multiLevelType w:val="hybridMultilevel"/>
    <w:tmpl w:val="2F845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96150"/>
    <w:multiLevelType w:val="hybridMultilevel"/>
    <w:tmpl w:val="281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4F396D"/>
    <w:multiLevelType w:val="hybridMultilevel"/>
    <w:tmpl w:val="60BC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34F38"/>
    <w:multiLevelType w:val="hybridMultilevel"/>
    <w:tmpl w:val="12EA05D0"/>
    <w:lvl w:ilvl="0" w:tplc="71C621E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81CC8"/>
    <w:multiLevelType w:val="hybridMultilevel"/>
    <w:tmpl w:val="986C09DC"/>
    <w:lvl w:ilvl="0" w:tplc="ED3CA8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97BA7"/>
    <w:multiLevelType w:val="hybridMultilevel"/>
    <w:tmpl w:val="101A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60FD9"/>
    <w:multiLevelType w:val="hybridMultilevel"/>
    <w:tmpl w:val="373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56D7D"/>
    <w:multiLevelType w:val="hybridMultilevel"/>
    <w:tmpl w:val="19043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1524640">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489560882">
    <w:abstractNumId w:val="8"/>
  </w:num>
  <w:num w:numId="3" w16cid:durableId="1736053614">
    <w:abstractNumId w:val="6"/>
  </w:num>
  <w:num w:numId="4" w16cid:durableId="17708674">
    <w:abstractNumId w:val="5"/>
  </w:num>
  <w:num w:numId="5" w16cid:durableId="1065031209">
    <w:abstractNumId w:val="4"/>
  </w:num>
  <w:num w:numId="6" w16cid:durableId="378634208">
    <w:abstractNumId w:val="7"/>
  </w:num>
  <w:num w:numId="7" w16cid:durableId="1673265188">
    <w:abstractNumId w:val="2"/>
  </w:num>
  <w:num w:numId="8" w16cid:durableId="779884821">
    <w:abstractNumId w:val="1"/>
  </w:num>
  <w:num w:numId="9" w16cid:durableId="1390809550">
    <w:abstractNumId w:val="3"/>
  </w:num>
  <w:num w:numId="10" w16cid:durableId="871966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1FE65F-C3D5-4C91-A077-79CED12AFECA}"/>
    <w:docVar w:name="dgnword-eventsink" w:val="107568408"/>
  </w:docVars>
  <w:rsids>
    <w:rsidRoot w:val="001D6CC4"/>
    <w:rsid w:val="00007017"/>
    <w:rsid w:val="00013973"/>
    <w:rsid w:val="00013DFE"/>
    <w:rsid w:val="000410CC"/>
    <w:rsid w:val="000616DC"/>
    <w:rsid w:val="00061A74"/>
    <w:rsid w:val="00071E58"/>
    <w:rsid w:val="000865C6"/>
    <w:rsid w:val="00086607"/>
    <w:rsid w:val="000A5083"/>
    <w:rsid w:val="000A718F"/>
    <w:rsid w:val="000B4D42"/>
    <w:rsid w:val="000E43B0"/>
    <w:rsid w:val="000E694A"/>
    <w:rsid w:val="000F3198"/>
    <w:rsid w:val="001150A1"/>
    <w:rsid w:val="00115F5F"/>
    <w:rsid w:val="0013270B"/>
    <w:rsid w:val="00134BFF"/>
    <w:rsid w:val="00142B83"/>
    <w:rsid w:val="00144717"/>
    <w:rsid w:val="0015361F"/>
    <w:rsid w:val="0016345C"/>
    <w:rsid w:val="00170D2A"/>
    <w:rsid w:val="00172122"/>
    <w:rsid w:val="0018252C"/>
    <w:rsid w:val="00187FFB"/>
    <w:rsid w:val="001A6EA7"/>
    <w:rsid w:val="001B1534"/>
    <w:rsid w:val="001D6CC4"/>
    <w:rsid w:val="001F0C27"/>
    <w:rsid w:val="001F4CE9"/>
    <w:rsid w:val="002007AD"/>
    <w:rsid w:val="002333DB"/>
    <w:rsid w:val="00237482"/>
    <w:rsid w:val="00272CD7"/>
    <w:rsid w:val="00281CD7"/>
    <w:rsid w:val="00292957"/>
    <w:rsid w:val="002E568F"/>
    <w:rsid w:val="00302812"/>
    <w:rsid w:val="00322286"/>
    <w:rsid w:val="00330DA1"/>
    <w:rsid w:val="003351FE"/>
    <w:rsid w:val="00344D9E"/>
    <w:rsid w:val="00353F69"/>
    <w:rsid w:val="0036000F"/>
    <w:rsid w:val="0036520D"/>
    <w:rsid w:val="00370BBD"/>
    <w:rsid w:val="00375A8F"/>
    <w:rsid w:val="00381A39"/>
    <w:rsid w:val="003822E5"/>
    <w:rsid w:val="003A5EBA"/>
    <w:rsid w:val="003E09A1"/>
    <w:rsid w:val="004020B6"/>
    <w:rsid w:val="004046FD"/>
    <w:rsid w:val="004254B0"/>
    <w:rsid w:val="0043265D"/>
    <w:rsid w:val="00434D84"/>
    <w:rsid w:val="00435147"/>
    <w:rsid w:val="00466609"/>
    <w:rsid w:val="00480B1D"/>
    <w:rsid w:val="00492252"/>
    <w:rsid w:val="00494949"/>
    <w:rsid w:val="004E2FE6"/>
    <w:rsid w:val="00516014"/>
    <w:rsid w:val="005223CA"/>
    <w:rsid w:val="00522C45"/>
    <w:rsid w:val="00526BF5"/>
    <w:rsid w:val="00564B08"/>
    <w:rsid w:val="005760FC"/>
    <w:rsid w:val="005D193F"/>
    <w:rsid w:val="005D75E6"/>
    <w:rsid w:val="00632738"/>
    <w:rsid w:val="00640F26"/>
    <w:rsid w:val="00645610"/>
    <w:rsid w:val="00655A83"/>
    <w:rsid w:val="00694B6A"/>
    <w:rsid w:val="006C0B40"/>
    <w:rsid w:val="006C16C2"/>
    <w:rsid w:val="006C771C"/>
    <w:rsid w:val="006D6BFC"/>
    <w:rsid w:val="006E5D76"/>
    <w:rsid w:val="006F4940"/>
    <w:rsid w:val="006F7D0D"/>
    <w:rsid w:val="007217C9"/>
    <w:rsid w:val="00757733"/>
    <w:rsid w:val="007643E8"/>
    <w:rsid w:val="00764FAB"/>
    <w:rsid w:val="00772E3D"/>
    <w:rsid w:val="00785CD1"/>
    <w:rsid w:val="00787BCA"/>
    <w:rsid w:val="007C278A"/>
    <w:rsid w:val="007D4FED"/>
    <w:rsid w:val="007F3A4A"/>
    <w:rsid w:val="008166A1"/>
    <w:rsid w:val="0083693A"/>
    <w:rsid w:val="00843D3B"/>
    <w:rsid w:val="00852598"/>
    <w:rsid w:val="0086121D"/>
    <w:rsid w:val="0087142E"/>
    <w:rsid w:val="00874F74"/>
    <w:rsid w:val="00895104"/>
    <w:rsid w:val="008B47FB"/>
    <w:rsid w:val="008C55A7"/>
    <w:rsid w:val="008D131A"/>
    <w:rsid w:val="00906D78"/>
    <w:rsid w:val="00911110"/>
    <w:rsid w:val="009151CB"/>
    <w:rsid w:val="009221E4"/>
    <w:rsid w:val="0092296F"/>
    <w:rsid w:val="009254CA"/>
    <w:rsid w:val="00930CAA"/>
    <w:rsid w:val="00931A12"/>
    <w:rsid w:val="00937E11"/>
    <w:rsid w:val="00953A67"/>
    <w:rsid w:val="009607EF"/>
    <w:rsid w:val="009C6AC0"/>
    <w:rsid w:val="009D5856"/>
    <w:rsid w:val="00A16E4E"/>
    <w:rsid w:val="00A44170"/>
    <w:rsid w:val="00A50CB1"/>
    <w:rsid w:val="00A87ACD"/>
    <w:rsid w:val="00A91B8A"/>
    <w:rsid w:val="00AA24F9"/>
    <w:rsid w:val="00AA3EA5"/>
    <w:rsid w:val="00AB7391"/>
    <w:rsid w:val="00AC0788"/>
    <w:rsid w:val="00AD0AB2"/>
    <w:rsid w:val="00AD3412"/>
    <w:rsid w:val="00AD3C93"/>
    <w:rsid w:val="00AD7513"/>
    <w:rsid w:val="00AF0B93"/>
    <w:rsid w:val="00B07077"/>
    <w:rsid w:val="00B25F87"/>
    <w:rsid w:val="00B30726"/>
    <w:rsid w:val="00B353F2"/>
    <w:rsid w:val="00B35995"/>
    <w:rsid w:val="00B36A08"/>
    <w:rsid w:val="00B443C5"/>
    <w:rsid w:val="00B57244"/>
    <w:rsid w:val="00B643BF"/>
    <w:rsid w:val="00B95C48"/>
    <w:rsid w:val="00BB593E"/>
    <w:rsid w:val="00BD5026"/>
    <w:rsid w:val="00C041C3"/>
    <w:rsid w:val="00C412BF"/>
    <w:rsid w:val="00C41989"/>
    <w:rsid w:val="00C51615"/>
    <w:rsid w:val="00C67AC8"/>
    <w:rsid w:val="00C736B3"/>
    <w:rsid w:val="00C85F43"/>
    <w:rsid w:val="00C93D5B"/>
    <w:rsid w:val="00CA10EA"/>
    <w:rsid w:val="00CB4D13"/>
    <w:rsid w:val="00CC495D"/>
    <w:rsid w:val="00CF001C"/>
    <w:rsid w:val="00D21AAB"/>
    <w:rsid w:val="00D35218"/>
    <w:rsid w:val="00D6009D"/>
    <w:rsid w:val="00D64AD0"/>
    <w:rsid w:val="00D83520"/>
    <w:rsid w:val="00DD306E"/>
    <w:rsid w:val="00DE2C84"/>
    <w:rsid w:val="00E278FE"/>
    <w:rsid w:val="00E31665"/>
    <w:rsid w:val="00E37D3F"/>
    <w:rsid w:val="00E4243F"/>
    <w:rsid w:val="00E447DA"/>
    <w:rsid w:val="00E55FB6"/>
    <w:rsid w:val="00E56A91"/>
    <w:rsid w:val="00EA26E2"/>
    <w:rsid w:val="00EC1202"/>
    <w:rsid w:val="00EE0987"/>
    <w:rsid w:val="00F117AE"/>
    <w:rsid w:val="00F22CDB"/>
    <w:rsid w:val="00F25285"/>
    <w:rsid w:val="00F2795C"/>
    <w:rsid w:val="00F27D0A"/>
    <w:rsid w:val="00F3598C"/>
    <w:rsid w:val="00F44735"/>
    <w:rsid w:val="00F44772"/>
    <w:rsid w:val="00F46A3C"/>
    <w:rsid w:val="00F63726"/>
    <w:rsid w:val="00F657BB"/>
    <w:rsid w:val="00F77EA2"/>
    <w:rsid w:val="00F87A4A"/>
    <w:rsid w:val="00F96D0A"/>
    <w:rsid w:val="00FD1566"/>
    <w:rsid w:val="00FD1BAC"/>
    <w:rsid w:val="00FD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55041E"/>
  <w15:docId w15:val="{D31411FE-DA79-4658-91A6-7B0E7677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6">
    <w:name w:val="heading 6"/>
    <w:basedOn w:val="Normal"/>
    <w:next w:val="Normal"/>
    <w:link w:val="Heading6Char"/>
    <w:uiPriority w:val="99"/>
    <w:qFormat/>
    <w:pPr>
      <w:keepNext/>
      <w:widowControl w:val="0"/>
      <w:tabs>
        <w:tab w:val="center" w:pos="4680"/>
      </w:tabs>
      <w:autoSpaceDE w:val="0"/>
      <w:autoSpaceDN w:val="0"/>
      <w:adjustRightInd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Pr>
      <w:rFonts w:ascii="Calibri" w:hAnsi="Calibri" w:cs="Calibri"/>
      <w:b/>
      <w:bCs/>
      <w:sz w:val="22"/>
      <w:szCs w:val="22"/>
    </w:rPr>
  </w:style>
  <w:style w:type="paragraph" w:customStyle="1" w:styleId="Level1">
    <w:name w:val="Level 1"/>
    <w:basedOn w:val="Normal"/>
    <w:uiPriority w:val="99"/>
    <w:pPr>
      <w:widowControl w:val="0"/>
      <w:numPr>
        <w:numId w:val="1"/>
      </w:numPr>
      <w:autoSpaceDE w:val="0"/>
      <w:autoSpaceDN w:val="0"/>
      <w:adjustRightInd w:val="0"/>
      <w:ind w:left="720" w:hanging="720"/>
      <w:outlineLvl w:val="0"/>
    </w:pPr>
    <w:rPr>
      <w:sz w:val="20"/>
      <w:szCs w:val="20"/>
    </w:rPr>
  </w:style>
  <w:style w:type="paragraph" w:styleId="BodyTextIndent3">
    <w:name w:val="Body Text Indent 3"/>
    <w:basedOn w:val="Normal"/>
    <w:link w:val="BodyTextIndent3Char"/>
    <w:uiPriority w:val="99"/>
    <w:pPr>
      <w:tabs>
        <w:tab w:val="left" w:pos="1440"/>
      </w:tabs>
      <w:spacing w:after="120"/>
      <w:ind w:left="1440" w:hanging="1440"/>
      <w:jc w:val="both"/>
    </w:pPr>
    <w:rPr>
      <w:b/>
      <w:bCs/>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BodyText2">
    <w:name w:val="Body Text 2"/>
    <w:basedOn w:val="Normal"/>
    <w:link w:val="BodyText2Char"/>
    <w:uiPriority w:val="99"/>
    <w:pPr>
      <w:ind w:firstLine="720"/>
      <w:jc w:val="both"/>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0"/>
      </w:tabs>
      <w:spacing w:after="120"/>
      <w:ind w:left="720" w:hanging="720"/>
      <w:jc w:val="both"/>
    </w:p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B7391"/>
    <w:pPr>
      <w:ind w:left="720"/>
      <w:contextualSpacing/>
    </w:pPr>
  </w:style>
  <w:style w:type="paragraph" w:styleId="BalloonText">
    <w:name w:val="Balloon Text"/>
    <w:basedOn w:val="Normal"/>
    <w:link w:val="BalloonTextChar"/>
    <w:uiPriority w:val="99"/>
    <w:semiHidden/>
    <w:unhideWhenUsed/>
    <w:rsid w:val="00FD267F"/>
    <w:rPr>
      <w:rFonts w:ascii="Tahoma" w:hAnsi="Tahoma" w:cs="Tahoma"/>
      <w:sz w:val="16"/>
      <w:szCs w:val="16"/>
    </w:rPr>
  </w:style>
  <w:style w:type="character" w:customStyle="1" w:styleId="BalloonTextChar">
    <w:name w:val="Balloon Text Char"/>
    <w:basedOn w:val="DefaultParagraphFont"/>
    <w:link w:val="BalloonText"/>
    <w:uiPriority w:val="99"/>
    <w:semiHidden/>
    <w:rsid w:val="00FD267F"/>
    <w:rPr>
      <w:rFonts w:ascii="Tahoma" w:hAnsi="Tahoma" w:cs="Tahoma"/>
      <w:sz w:val="16"/>
      <w:szCs w:val="16"/>
    </w:rPr>
  </w:style>
  <w:style w:type="paragraph" w:styleId="NoSpacing">
    <w:name w:val="No Spacing"/>
    <w:uiPriority w:val="1"/>
    <w:qFormat/>
    <w:rsid w:val="008C55A7"/>
    <w:rPr>
      <w:rFonts w:ascii="Calibri" w:eastAsia="Calibri" w:hAnsi="Calibri" w:cs="Times New Roman"/>
    </w:rPr>
  </w:style>
  <w:style w:type="character" w:styleId="Hyperlink">
    <w:name w:val="Hyperlink"/>
    <w:basedOn w:val="DefaultParagraphFont"/>
    <w:uiPriority w:val="99"/>
    <w:semiHidden/>
    <w:unhideWhenUsed/>
    <w:rsid w:val="00B643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7730">
      <w:bodyDiv w:val="1"/>
      <w:marLeft w:val="0"/>
      <w:marRight w:val="0"/>
      <w:marTop w:val="0"/>
      <w:marBottom w:val="0"/>
      <w:divBdr>
        <w:top w:val="none" w:sz="0" w:space="0" w:color="auto"/>
        <w:left w:val="none" w:sz="0" w:space="0" w:color="auto"/>
        <w:bottom w:val="none" w:sz="0" w:space="0" w:color="auto"/>
        <w:right w:val="none" w:sz="0" w:space="0" w:color="auto"/>
      </w:divBdr>
    </w:div>
    <w:div w:id="379014511">
      <w:bodyDiv w:val="1"/>
      <w:marLeft w:val="0"/>
      <w:marRight w:val="0"/>
      <w:marTop w:val="0"/>
      <w:marBottom w:val="0"/>
      <w:divBdr>
        <w:top w:val="none" w:sz="0" w:space="0" w:color="auto"/>
        <w:left w:val="none" w:sz="0" w:space="0" w:color="auto"/>
        <w:bottom w:val="none" w:sz="0" w:space="0" w:color="auto"/>
        <w:right w:val="none" w:sz="0" w:space="0" w:color="auto"/>
      </w:divBdr>
    </w:div>
    <w:div w:id="783230150">
      <w:bodyDiv w:val="1"/>
      <w:marLeft w:val="0"/>
      <w:marRight w:val="0"/>
      <w:marTop w:val="0"/>
      <w:marBottom w:val="0"/>
      <w:divBdr>
        <w:top w:val="none" w:sz="0" w:space="0" w:color="auto"/>
        <w:left w:val="none" w:sz="0" w:space="0" w:color="auto"/>
        <w:bottom w:val="none" w:sz="0" w:space="0" w:color="auto"/>
        <w:right w:val="none" w:sz="0" w:space="0" w:color="auto"/>
      </w:divBdr>
    </w:div>
    <w:div w:id="1109009229">
      <w:bodyDiv w:val="1"/>
      <w:marLeft w:val="0"/>
      <w:marRight w:val="0"/>
      <w:marTop w:val="0"/>
      <w:marBottom w:val="0"/>
      <w:divBdr>
        <w:top w:val="none" w:sz="0" w:space="0" w:color="auto"/>
        <w:left w:val="none" w:sz="0" w:space="0" w:color="auto"/>
        <w:bottom w:val="none" w:sz="0" w:space="0" w:color="auto"/>
        <w:right w:val="none" w:sz="0" w:space="0" w:color="auto"/>
      </w:divBdr>
    </w:div>
    <w:div w:id="1113749786">
      <w:bodyDiv w:val="1"/>
      <w:marLeft w:val="0"/>
      <w:marRight w:val="0"/>
      <w:marTop w:val="0"/>
      <w:marBottom w:val="0"/>
      <w:divBdr>
        <w:top w:val="none" w:sz="0" w:space="0" w:color="auto"/>
        <w:left w:val="none" w:sz="0" w:space="0" w:color="auto"/>
        <w:bottom w:val="none" w:sz="0" w:space="0" w:color="auto"/>
        <w:right w:val="none" w:sz="0" w:space="0" w:color="auto"/>
      </w:divBdr>
    </w:div>
    <w:div w:id="1318805733">
      <w:bodyDiv w:val="1"/>
      <w:marLeft w:val="0"/>
      <w:marRight w:val="0"/>
      <w:marTop w:val="0"/>
      <w:marBottom w:val="0"/>
      <w:divBdr>
        <w:top w:val="none" w:sz="0" w:space="0" w:color="auto"/>
        <w:left w:val="none" w:sz="0" w:space="0" w:color="auto"/>
        <w:bottom w:val="none" w:sz="0" w:space="0" w:color="auto"/>
        <w:right w:val="none" w:sz="0" w:space="0" w:color="auto"/>
      </w:divBdr>
    </w:div>
    <w:div w:id="1334338370">
      <w:bodyDiv w:val="1"/>
      <w:marLeft w:val="0"/>
      <w:marRight w:val="0"/>
      <w:marTop w:val="0"/>
      <w:marBottom w:val="0"/>
      <w:divBdr>
        <w:top w:val="none" w:sz="0" w:space="0" w:color="auto"/>
        <w:left w:val="none" w:sz="0" w:space="0" w:color="auto"/>
        <w:bottom w:val="none" w:sz="0" w:space="0" w:color="auto"/>
        <w:right w:val="none" w:sz="0" w:space="0" w:color="auto"/>
      </w:divBdr>
    </w:div>
    <w:div w:id="1426345112">
      <w:bodyDiv w:val="1"/>
      <w:marLeft w:val="0"/>
      <w:marRight w:val="0"/>
      <w:marTop w:val="0"/>
      <w:marBottom w:val="0"/>
      <w:divBdr>
        <w:top w:val="none" w:sz="0" w:space="0" w:color="auto"/>
        <w:left w:val="none" w:sz="0" w:space="0" w:color="auto"/>
        <w:bottom w:val="none" w:sz="0" w:space="0" w:color="auto"/>
        <w:right w:val="none" w:sz="0" w:space="0" w:color="auto"/>
      </w:divBdr>
    </w:div>
    <w:div w:id="14800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DAE5-3013-410B-A8FD-3094559D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BKearns</dc:creator>
  <cp:lastModifiedBy>Grafton Administrator</cp:lastModifiedBy>
  <cp:revision>2</cp:revision>
  <cp:lastPrinted>2020-01-16T16:35:00Z</cp:lastPrinted>
  <dcterms:created xsi:type="dcterms:W3CDTF">2022-11-21T13:42:00Z</dcterms:created>
  <dcterms:modified xsi:type="dcterms:W3CDTF">2022-11-21T13:42:00Z</dcterms:modified>
</cp:coreProperties>
</file>